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仿宋" w:hAnsi="仿宋" w:eastAsia="仿宋" w:cs="仿宋"/>
          <w:sz w:val="32"/>
          <w:szCs w:val="32"/>
          <w:lang w:val="en-US" w:eastAsia="zh-CN"/>
        </w:rPr>
      </w:pPr>
      <w:r>
        <w:rPr>
          <w:rFonts w:hint="eastAsia" w:asciiTheme="majorEastAsia" w:hAnsiTheme="majorEastAsia" w:eastAsiaTheme="majorEastAsia" w:cstheme="majorEastAsia"/>
          <w:sz w:val="44"/>
          <w:szCs w:val="44"/>
          <w:lang w:val="en-US" w:eastAsia="zh-CN"/>
        </w:rPr>
        <w:t>2021年护理创新扶持工程科研课题指南</w:t>
      </w:r>
    </w:p>
    <w:p>
      <w:pPr>
        <w:spacing w:line="592" w:lineRule="exact"/>
        <w:rPr>
          <w:rFonts w:ascii="Times New Roman" w:hAnsi="Times New Roman" w:eastAsia="仿宋_GB2312" w:cs="Times New Roman"/>
          <w:color w:val="000000" w:themeColor="text1"/>
          <w:kern w:val="32"/>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kern w:val="32"/>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32"/>
          <w:sz w:val="32"/>
          <w:szCs w:val="32"/>
          <w:lang w:eastAsia="zh-CN"/>
          <w14:textFill>
            <w14:solidFill>
              <w14:schemeClr w14:val="tx1"/>
            </w14:solidFill>
          </w14:textFill>
        </w:rPr>
        <w:t>中国社会福利基金会护爱基金护理创新扶持工程科研课题应紧扣广大人民群众卫生服务需求，针对护理实践及护理管理中的实际问题，掌握了解国内外相关研究领域发展现状和动态，凝练出具有研究价值的科学问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kern w:val="32"/>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32"/>
          <w:sz w:val="32"/>
          <w:szCs w:val="32"/>
          <w:lang w:eastAsia="zh-CN"/>
          <w14:textFill>
            <w14:solidFill>
              <w14:schemeClr w14:val="tx1"/>
            </w14:solidFill>
          </w14:textFill>
        </w:rPr>
        <w:t>课题选题应具有重要的科学意义和实用价值，立论依据充分，学术思想新颖，研究目标明确，研究内容合理，研究方案可行。</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default" w:ascii="Times New Roman" w:hAnsi="Times New Roman" w:eastAsia="仿宋_GB2312" w:cs="Times New Roman"/>
          <w:b/>
          <w:bCs/>
          <w:color w:val="000000" w:themeColor="text1"/>
          <w:kern w:val="32"/>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32"/>
          <w:sz w:val="32"/>
          <w:szCs w:val="32"/>
          <w:lang w:eastAsia="zh-CN"/>
          <w14:textFill>
            <w14:solidFill>
              <w14:schemeClr w14:val="tx1"/>
            </w14:solidFill>
          </w14:textFill>
        </w:rPr>
        <w:t>课题选题及申请代码：</w:t>
      </w: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临床护理学</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HLCXKT-20210101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临床护理主要是针对医院各临床科室的专科护理、基础护理、循证护理等方面的科学与技术的创新研究。</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1"/>
        </w:numPr>
        <w:spacing w:line="592"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临床常见症状护理的研究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1"/>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护理新技术、新方法的研究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1"/>
        </w:num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护理对象的心理状态及心理需求的研究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1"/>
        </w:num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并发症预测、护理预防与干预措施的研究</w:t>
      </w:r>
      <w:r>
        <w:rPr>
          <w:rFonts w:ascii="Times New Roman" w:hAnsi="Times New Roman" w:eastAsia="仿宋_GB2312" w:cs="Times New Roman"/>
          <w:color w:val="000000" w:themeColor="text1"/>
          <w:sz w:val="32"/>
          <w:szCs w:val="32"/>
          <w14:textFill>
            <w14:solidFill>
              <w14:schemeClr w14:val="tx1"/>
            </w14:solidFill>
          </w14:textFill>
        </w:rPr>
        <w:t>分析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护理管理学</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HLCXKT-20210201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主要研究护理管理现象和规律,通过计划、组织、指挥、协调、控制五个管理职能,达到提高护理管理效率的目的。</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医院护理人力资源管理的研究；</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护士群体职业发展的研究；</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护士群体身心健康的研究；</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专科门诊建设管理的研究；</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不同护理模式的研究；</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互联网+护理服务模式的探讨和实施的研究。</w:t>
      </w:r>
    </w:p>
    <w:p>
      <w:pPr>
        <w:adjustRightInd w:val="0"/>
        <w:snapToGrid w:val="0"/>
        <w:spacing w:line="592" w:lineRule="exact"/>
        <w:jc w:val="center"/>
        <w:rPr>
          <w:rFonts w:hint="eastAsia" w:ascii="Times New Roman" w:hAnsi="Times New Roman" w:eastAsia="黑体" w:cs="Times New Roman"/>
          <w:color w:val="000000" w:themeColor="text1"/>
          <w:kern w:val="0"/>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护理教育学</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HLCXKT-20210301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护理教育根据社会卫生事业和护理学科发展的规律及特点，运用教育科学的基本原理及方法，研究护理教育活动的基本规律，论述培养符合社会需要的护理专业人才的理论及方法。</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3"/>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教学方法在护理院校和医院间的应用；</w:t>
      </w:r>
    </w:p>
    <w:p>
      <w:pPr>
        <w:numPr>
          <w:ilvl w:val="0"/>
          <w:numId w:val="3"/>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信息技术在护理教学中的应用；</w:t>
      </w:r>
    </w:p>
    <w:p>
      <w:pPr>
        <w:numPr>
          <w:ilvl w:val="0"/>
          <w:numId w:val="3"/>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关注护生和护士全面成长和学习体验。</w:t>
      </w:r>
    </w:p>
    <w:p>
      <w:pPr>
        <w:spacing w:line="592" w:lineRule="exact"/>
        <w:jc w:val="center"/>
        <w:rPr>
          <w:rFonts w:hint="eastAsia"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护理信息学</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HLCXKT-20210401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针对我国护理信息系统应用现状，以提高护理质量、改善护理结局为目标，以应用现代计算机信息技术为手段探讨护理信息学在临床护理和病人管理中的应用及系统优化并进行效果评价研究。</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4"/>
        </w:numPr>
        <w:spacing w:line="592" w:lineRule="exact"/>
        <w:ind w:firstLine="640" w:firstLineChars="200"/>
        <w:rPr>
          <w:rFonts w:hint="eastAsia"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14:textFill>
            <w14:solidFill>
              <w14:schemeClr w14:val="tx1"/>
            </w14:solidFill>
          </w14:textFill>
        </w:rPr>
        <w:t>计算机辅助护理</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numPr>
          <w:ilvl w:val="0"/>
          <w:numId w:val="4"/>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临床护理数据库的建立与共享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4"/>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应用信息技术进行案例管理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4"/>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护理信息应用效果评价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djustRightInd w:val="0"/>
        <w:snapToGrid w:val="0"/>
        <w:spacing w:line="592" w:lineRule="exact"/>
        <w:jc w:val="center"/>
        <w:rPr>
          <w:rFonts w:hint="eastAsia" w:ascii="Times New Roman" w:hAnsi="Times New Roman" w:eastAsia="黑体" w:cs="Times New Roman"/>
          <w:color w:val="000000" w:themeColor="text1"/>
          <w:kern w:val="0"/>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老年护理学</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HLCXKT-20210501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主要针对老年人衰老、老年照护方面的研究；分析人口老龄化对老年护理的挑战、老年护理研究的现状,探讨老年护理的照护模式，重视心理、社会因素对健康的影响,合理利用护理卫生资源,护理教育等方面加强研究。</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5"/>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衰老机制的研究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5"/>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老年安全管理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5"/>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老年人照护模式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5"/>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老年护理产品的研发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djustRightInd w:val="0"/>
        <w:snapToGrid w:val="0"/>
        <w:spacing w:line="592" w:lineRule="exact"/>
        <w:jc w:val="center"/>
        <w:rPr>
          <w:rFonts w:hint="eastAsia" w:ascii="Times New Roman" w:hAnsi="Times New Roman" w:eastAsia="黑体" w:cs="Times New Roman"/>
          <w:color w:val="000000" w:themeColor="text1"/>
          <w:kern w:val="0"/>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延续性护理</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HLCXKT-20210601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延续性护理为患者提供多种方式出院后的护理和指导，使院内护理工作得到延续。延续性护理服务在改善患者健康、减少患者急诊次数、降低患者急性住院后的再入院等方面发挥着越来越重要的作用；同时延续性护理还可以有效降低患者的就医成本，是一项于社会效益与经济效益并存的护理模式。</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6"/>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延续性护理模式的探讨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6"/>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延续性护理的现状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6"/>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延续性护理的管理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92" w:lineRule="exact"/>
        <w:jc w:val="center"/>
        <w:rPr>
          <w:rFonts w:hint="eastAsia"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92"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安宁疗护</w:t>
      </w:r>
    </w:p>
    <w:p>
      <w:pPr>
        <w:adjustRightInd w:val="0"/>
        <w:snapToGrid w:val="0"/>
        <w:spacing w:line="592" w:lineRule="exact"/>
        <w:ind w:firstLine="643" w:firstLineChars="200"/>
        <w:rPr>
          <w:rFonts w:ascii="Times New Roman" w:hAnsi="Times New Roman" w:eastAsia="楷体_GB2312" w:cs="Times New Roman"/>
          <w:b w:val="0"/>
          <w:bCs w:val="0"/>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课题编号：</w:t>
      </w:r>
      <w:r>
        <w:rPr>
          <w:rFonts w:hint="eastAsia" w:ascii="Times New Roman" w:hAnsi="Times New Roman" w:eastAsia="楷体_GB2312" w:cs="Times New Roman"/>
          <w:b w:val="0"/>
          <w:bCs w:val="0"/>
          <w:color w:val="000000" w:themeColor="text1"/>
          <w:kern w:val="0"/>
          <w:sz w:val="32"/>
          <w:szCs w:val="32"/>
          <w:lang w:val="en-US" w:eastAsia="zh-CN"/>
          <w14:textFill>
            <w14:solidFill>
              <w14:schemeClr w14:val="tx1"/>
            </w14:solidFill>
          </w14:textFill>
        </w:rPr>
        <w:t>HLCXKT-20210701</w:t>
      </w:r>
    </w:p>
    <w:p>
      <w:pPr>
        <w:spacing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安宁疗护的研究时以生命晚期患者及其家属为研究对象，旨在解决患者生理、心理、精神和社会问题及其家属的需求的问题，其研究成果可为提高安宁疗护服务水平提供理论依据、技术支撑和实践指导。</w:t>
      </w:r>
    </w:p>
    <w:p>
      <w:pPr>
        <w:adjustRightInd w:val="0"/>
        <w:snapToGrid w:val="0"/>
        <w:spacing w:line="592" w:lineRule="exact"/>
        <w:ind w:firstLine="643" w:firstLineChars="200"/>
        <w:rPr>
          <w:rFonts w:ascii="Times New Roman" w:hAnsi="Times New Roman" w:eastAsia="楷体_GB2312" w:cs="Times New Roman"/>
          <w:b/>
          <w:bCs/>
          <w:color w:val="000000" w:themeColor="text1"/>
          <w:kern w:val="0"/>
          <w:sz w:val="32"/>
          <w:szCs w:val="32"/>
          <w14:textFill>
            <w14:solidFill>
              <w14:schemeClr w14:val="tx1"/>
            </w14:solidFill>
          </w14:textFill>
        </w:rPr>
      </w:pPr>
      <w:r>
        <w:rPr>
          <w:rFonts w:ascii="Times New Roman" w:hAnsi="Times New Roman" w:eastAsia="楷体_GB2312" w:cs="Times New Roman"/>
          <w:b/>
          <w:bCs/>
          <w:color w:val="000000" w:themeColor="text1"/>
          <w:kern w:val="0"/>
          <w:sz w:val="32"/>
          <w:szCs w:val="32"/>
          <w14:textFill>
            <w14:solidFill>
              <w14:schemeClr w14:val="tx1"/>
            </w14:solidFill>
          </w14:textFill>
        </w:rPr>
        <w:t>本课题要求重点研究（但不限于）以下方面：</w:t>
      </w:r>
    </w:p>
    <w:p>
      <w:pPr>
        <w:numPr>
          <w:ilvl w:val="0"/>
          <w:numId w:val="7"/>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临终患者症状的研究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7"/>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临终患者的心理问题评估与干预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7"/>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临终患者照护者的心理支持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7"/>
        </w:numPr>
        <w:spacing w:line="592"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安宁疗护工作者心理健康的研究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numPr>
          <w:ilvl w:val="0"/>
          <w:numId w:val="7"/>
        </w:numPr>
        <w:spacing w:line="592" w:lineRule="exact"/>
        <w:ind w:firstLine="640" w:firstLineChars="200"/>
        <w:rPr>
          <w:rFonts w:hint="eastAsia"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安宁疗护相关新技术、新产品的研发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djustRightInd w:val="0"/>
        <w:snapToGrid w:val="0"/>
        <w:spacing w:line="592" w:lineRule="exact"/>
        <w:rPr>
          <w:rFonts w:ascii="Times New Roman" w:hAnsi="Times New Roman" w:eastAsia="仿宋_GB2312" w:cs="Times New Roman"/>
          <w:color w:val="000000" w:themeColor="text1"/>
          <w:kern w:val="0"/>
          <w:sz w:val="32"/>
          <w:szCs w:val="32"/>
          <w14:textFill>
            <w14:solidFill>
              <w14:schemeClr w14:val="tx1"/>
            </w14:solidFill>
          </w14:textFill>
        </w:rPr>
      </w:pPr>
    </w:p>
    <w:p>
      <w:pPr>
        <w:spacing w:line="592" w:lineRule="exac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课题研究进度与要求</w:t>
      </w:r>
    </w:p>
    <w:p>
      <w:pPr>
        <w:spacing w:line="592"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课题研究成果包括研究报告全本和简本；</w:t>
      </w:r>
    </w:p>
    <w:p>
      <w:pPr>
        <w:spacing w:line="592"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2021年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ascii="Times New Roman" w:hAnsi="Times New Roman" w:eastAsia="仿宋_GB2312" w:cs="Times New Roman"/>
          <w:color w:val="000000" w:themeColor="text1"/>
          <w:kern w:val="0"/>
          <w:sz w:val="32"/>
          <w:szCs w:val="32"/>
          <w14:textFill>
            <w14:solidFill>
              <w14:schemeClr w14:val="tx1"/>
            </w14:solidFill>
          </w14:textFill>
        </w:rPr>
        <w:t>月底之前，所有课题必须开题；</w:t>
      </w:r>
    </w:p>
    <w:p>
      <w:pPr>
        <w:spacing w:line="592" w:lineRule="exact"/>
        <w:ind w:firstLine="627" w:firstLineChars="196"/>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月份，完成初步研究成果，提交终期评审报告；</w:t>
      </w:r>
    </w:p>
    <w:p>
      <w:pPr>
        <w:spacing w:line="592" w:lineRule="exact"/>
        <w:ind w:firstLine="627" w:firstLineChars="196"/>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月底之前，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基金会专家委员会组织</w:t>
      </w:r>
      <w:r>
        <w:rPr>
          <w:rFonts w:ascii="Times New Roman" w:hAnsi="Times New Roman" w:eastAsia="仿宋_GB2312" w:cs="Times New Roman"/>
          <w:color w:val="000000" w:themeColor="text1"/>
          <w:kern w:val="0"/>
          <w:sz w:val="32"/>
          <w:szCs w:val="32"/>
          <w14:textFill>
            <w14:solidFill>
              <w14:schemeClr w14:val="tx1"/>
            </w14:solidFill>
          </w14:textFill>
        </w:rPr>
        <w:t>结题评审；</w:t>
      </w:r>
    </w:p>
    <w:p>
      <w:pPr>
        <w:spacing w:line="592" w:lineRule="exact"/>
        <w:ind w:firstLine="627" w:firstLineChars="196"/>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6</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color w:val="000000" w:themeColor="text1"/>
          <w:kern w:val="0"/>
          <w:sz w:val="32"/>
          <w:szCs w:val="32"/>
          <w14:textFill>
            <w14:solidFill>
              <w14:schemeClr w14:val="tx1"/>
            </w14:solidFill>
          </w14:textFill>
        </w:rPr>
        <w:t>月底之前，根据结题评审要求修改完善研究报告，提交报告全</w:t>
      </w:r>
      <w:bookmarkStart w:id="0" w:name="_GoBack"/>
      <w:bookmarkEnd w:id="0"/>
      <w:r>
        <w:rPr>
          <w:rFonts w:ascii="Times New Roman" w:hAnsi="Times New Roman" w:eastAsia="仿宋_GB2312" w:cs="Times New Roman"/>
          <w:color w:val="000000" w:themeColor="text1"/>
          <w:kern w:val="0"/>
          <w:sz w:val="32"/>
          <w:szCs w:val="32"/>
          <w14:textFill>
            <w14:solidFill>
              <w14:schemeClr w14:val="tx1"/>
            </w14:solidFill>
          </w14:textFill>
        </w:rPr>
        <w:t>本和简本。</w:t>
      </w:r>
    </w:p>
    <w:p>
      <w:pPr>
        <w:spacing w:line="592" w:lineRule="exact"/>
        <w:ind w:firstLine="627" w:firstLineChars="196"/>
        <w:rPr>
          <w:rFonts w:ascii="Times New Roman" w:hAnsi="Times New Roman" w:eastAsia="仿宋_GB2312" w:cs="Times New Roman"/>
          <w:color w:val="000000" w:themeColor="text1"/>
          <w:kern w:val="0"/>
          <w:sz w:val="32"/>
          <w:szCs w:val="32"/>
          <w14:textFill>
            <w14:solidFill>
              <w14:schemeClr w14:val="tx1"/>
            </w14:solidFill>
          </w14:textFill>
        </w:rPr>
      </w:pPr>
    </w:p>
    <w:p>
      <w:pPr>
        <w:spacing w:line="592" w:lineRule="exact"/>
        <w:ind w:firstLine="627" w:firstLineChars="196"/>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如课题完成时间延期，课题负责人需提交书面申请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，并经依托单位同意，报事业部审批。</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4C019"/>
    <w:multiLevelType w:val="singleLevel"/>
    <w:tmpl w:val="A404C019"/>
    <w:lvl w:ilvl="0" w:tentative="0">
      <w:start w:val="1"/>
      <w:numFmt w:val="decimal"/>
      <w:suff w:val="nothing"/>
      <w:lvlText w:val="%1、"/>
      <w:lvlJc w:val="left"/>
    </w:lvl>
  </w:abstractNum>
  <w:abstractNum w:abstractNumId="1">
    <w:nsid w:val="B7B79891"/>
    <w:multiLevelType w:val="singleLevel"/>
    <w:tmpl w:val="B7B79891"/>
    <w:lvl w:ilvl="0" w:tentative="0">
      <w:start w:val="1"/>
      <w:numFmt w:val="decimal"/>
      <w:suff w:val="nothing"/>
      <w:lvlText w:val="%1、"/>
      <w:lvlJc w:val="left"/>
    </w:lvl>
  </w:abstractNum>
  <w:abstractNum w:abstractNumId="2">
    <w:nsid w:val="416B0540"/>
    <w:multiLevelType w:val="singleLevel"/>
    <w:tmpl w:val="416B0540"/>
    <w:lvl w:ilvl="0" w:tentative="0">
      <w:start w:val="1"/>
      <w:numFmt w:val="decimal"/>
      <w:suff w:val="nothing"/>
      <w:lvlText w:val="%1、"/>
      <w:lvlJc w:val="left"/>
    </w:lvl>
  </w:abstractNum>
  <w:abstractNum w:abstractNumId="3">
    <w:nsid w:val="47CFE37A"/>
    <w:multiLevelType w:val="singleLevel"/>
    <w:tmpl w:val="47CFE37A"/>
    <w:lvl w:ilvl="0" w:tentative="0">
      <w:start w:val="1"/>
      <w:numFmt w:val="decimal"/>
      <w:suff w:val="nothing"/>
      <w:lvlText w:val="%1、"/>
      <w:lvlJc w:val="left"/>
    </w:lvl>
  </w:abstractNum>
  <w:abstractNum w:abstractNumId="4">
    <w:nsid w:val="4CB6409F"/>
    <w:multiLevelType w:val="singleLevel"/>
    <w:tmpl w:val="4CB6409F"/>
    <w:lvl w:ilvl="0" w:tentative="0">
      <w:start w:val="1"/>
      <w:numFmt w:val="decimal"/>
      <w:suff w:val="nothing"/>
      <w:lvlText w:val="%1、"/>
      <w:lvlJc w:val="left"/>
    </w:lvl>
  </w:abstractNum>
  <w:abstractNum w:abstractNumId="5">
    <w:nsid w:val="57D868F8"/>
    <w:multiLevelType w:val="singleLevel"/>
    <w:tmpl w:val="57D868F8"/>
    <w:lvl w:ilvl="0" w:tentative="0">
      <w:start w:val="1"/>
      <w:numFmt w:val="decimal"/>
      <w:suff w:val="nothing"/>
      <w:lvlText w:val="%1、"/>
      <w:lvlJc w:val="left"/>
    </w:lvl>
  </w:abstractNum>
  <w:abstractNum w:abstractNumId="6">
    <w:nsid w:val="63262A85"/>
    <w:multiLevelType w:val="singleLevel"/>
    <w:tmpl w:val="63262A85"/>
    <w:lvl w:ilvl="0" w:tentative="0">
      <w:start w:val="1"/>
      <w:numFmt w:val="decimal"/>
      <w:suff w:val="nothing"/>
      <w:lvlText w:val="%1、"/>
      <w:lvlJc w:val="left"/>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571B"/>
    <w:rsid w:val="05AD4824"/>
    <w:rsid w:val="0FE5394E"/>
    <w:rsid w:val="427D7698"/>
    <w:rsid w:val="5AB7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2021-02-24T10:24:00Z</dcterms:created>
  <dc:creator>刘雪薇</dc:creator>
  <cp:lastModifiedBy>刘雪薇</cp:lastModifiedBy>
  <dcterms:modified xsi:type="dcterms:W3CDTF">2021-02-26T03:49:37Z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